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510A" w14:textId="77777777" w:rsidR="000D4362" w:rsidRDefault="00B84298" w:rsidP="00304C31">
      <w:pPr>
        <w:pStyle w:val="Heading1"/>
        <w:rPr>
          <w:rFonts w:asciiTheme="minorHAnsi" w:hAnsiTheme="minorHAnsi"/>
          <w:i w:val="0"/>
        </w:rPr>
      </w:pPr>
      <w:bookmarkStart w:id="0" w:name="_GoBack"/>
      <w:bookmarkEnd w:id="0"/>
      <w:r w:rsidRPr="00B84298">
        <w:rPr>
          <w:rFonts w:asciiTheme="minorHAnsi" w:hAnsiTheme="minorHAnsi"/>
          <w:i w:val="0"/>
        </w:rPr>
        <w:t xml:space="preserve"> </w:t>
      </w:r>
    </w:p>
    <w:p w14:paraId="0FD3DD1A" w14:textId="77777777" w:rsidR="00304C31" w:rsidRPr="00B84298" w:rsidRDefault="00C27F23" w:rsidP="00304C31">
      <w:pPr>
        <w:pStyle w:val="Heading1"/>
        <w:rPr>
          <w:rFonts w:asciiTheme="minorHAnsi" w:hAnsiTheme="minorHAnsi"/>
          <w:i w:val="0"/>
        </w:rPr>
      </w:pPr>
      <w:r>
        <w:rPr>
          <w:rFonts w:asciiTheme="minorHAnsi" w:hAnsiTheme="minorHAnsi"/>
          <w:i w:val="0"/>
        </w:rPr>
        <w:t>National Transfer Guidelines</w:t>
      </w:r>
    </w:p>
    <w:tbl>
      <w:tblPr>
        <w:tblStyle w:val="PlainTable2"/>
        <w:tblW w:w="6676" w:type="dxa"/>
        <w:tblInd w:w="-5" w:type="dxa"/>
        <w:tblLook w:val="0000" w:firstRow="0" w:lastRow="0" w:firstColumn="0" w:lastColumn="0" w:noHBand="0" w:noVBand="0"/>
      </w:tblPr>
      <w:tblGrid>
        <w:gridCol w:w="1556"/>
        <w:gridCol w:w="5120"/>
      </w:tblGrid>
      <w:tr w:rsidR="00304C31" w:rsidRPr="00B84298" w14:paraId="2C66AB17" w14:textId="77777777" w:rsidTr="00DE7901">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1556" w:type="dxa"/>
          </w:tcPr>
          <w:p w14:paraId="4DD5FAA6" w14:textId="77777777" w:rsidR="00304C31" w:rsidRPr="00061988" w:rsidRDefault="00304C31" w:rsidP="00445E98">
            <w:pPr>
              <w:rPr>
                <w:rFonts w:asciiTheme="minorHAnsi" w:hAnsiTheme="minorHAnsi"/>
                <w:b/>
                <w:color w:val="000000"/>
                <w:sz w:val="22"/>
              </w:rPr>
            </w:pPr>
            <w:r w:rsidRPr="00061988">
              <w:rPr>
                <w:rFonts w:asciiTheme="minorHAnsi" w:hAnsiTheme="minorHAnsi"/>
                <w:b/>
                <w:color w:val="000000"/>
                <w:sz w:val="22"/>
              </w:rPr>
              <w:t>Category:</w:t>
            </w:r>
          </w:p>
        </w:tc>
        <w:tc>
          <w:tcPr>
            <w:cnfStyle w:val="000001000000" w:firstRow="0" w:lastRow="0" w:firstColumn="0" w:lastColumn="0" w:oddVBand="0" w:evenVBand="1" w:oddHBand="0" w:evenHBand="0" w:firstRowFirstColumn="0" w:firstRowLastColumn="0" w:lastRowFirstColumn="0" w:lastRowLastColumn="0"/>
            <w:tcW w:w="5120" w:type="dxa"/>
          </w:tcPr>
          <w:p w14:paraId="24FD81BB" w14:textId="77777777" w:rsidR="00304C31" w:rsidRPr="00061988" w:rsidRDefault="00D92FEF" w:rsidP="00445E98">
            <w:pPr>
              <w:rPr>
                <w:rFonts w:asciiTheme="minorHAnsi" w:hAnsiTheme="minorHAnsi"/>
                <w:color w:val="000000"/>
                <w:sz w:val="22"/>
              </w:rPr>
            </w:pPr>
            <w:r>
              <w:rPr>
                <w:rFonts w:asciiTheme="minorHAnsi" w:hAnsiTheme="minorHAnsi"/>
                <w:color w:val="000000"/>
                <w:sz w:val="22"/>
              </w:rPr>
              <w:t xml:space="preserve">Transfer </w:t>
            </w:r>
          </w:p>
        </w:tc>
      </w:tr>
      <w:tr w:rsidR="00304C31" w:rsidRPr="00B84298" w14:paraId="4C81ABB0" w14:textId="77777777" w:rsidTr="00DE7901">
        <w:trPr>
          <w:trHeight w:val="354"/>
        </w:trPr>
        <w:tc>
          <w:tcPr>
            <w:cnfStyle w:val="000010000000" w:firstRow="0" w:lastRow="0" w:firstColumn="0" w:lastColumn="0" w:oddVBand="1" w:evenVBand="0" w:oddHBand="0" w:evenHBand="0" w:firstRowFirstColumn="0" w:firstRowLastColumn="0" w:lastRowFirstColumn="0" w:lastRowLastColumn="0"/>
            <w:tcW w:w="1556" w:type="dxa"/>
          </w:tcPr>
          <w:p w14:paraId="79BE681F" w14:textId="77777777" w:rsidR="00304C31" w:rsidRPr="00061988" w:rsidRDefault="00304C31" w:rsidP="00445E98">
            <w:pPr>
              <w:rPr>
                <w:rFonts w:asciiTheme="minorHAnsi" w:hAnsiTheme="minorHAnsi"/>
                <w:b/>
                <w:color w:val="000000"/>
                <w:sz w:val="22"/>
              </w:rPr>
            </w:pPr>
            <w:r w:rsidRPr="00061988">
              <w:rPr>
                <w:rFonts w:asciiTheme="minorHAnsi" w:hAnsiTheme="minorHAnsi"/>
                <w:b/>
                <w:color w:val="000000"/>
                <w:sz w:val="22"/>
              </w:rPr>
              <w:t>Responsibility:</w:t>
            </w:r>
          </w:p>
        </w:tc>
        <w:tc>
          <w:tcPr>
            <w:cnfStyle w:val="000001000000" w:firstRow="0" w:lastRow="0" w:firstColumn="0" w:lastColumn="0" w:oddVBand="0" w:evenVBand="1" w:oddHBand="0" w:evenHBand="0" w:firstRowFirstColumn="0" w:firstRowLastColumn="0" w:lastRowFirstColumn="0" w:lastRowLastColumn="0"/>
            <w:tcW w:w="5120" w:type="dxa"/>
          </w:tcPr>
          <w:p w14:paraId="18AD5424" w14:textId="77777777" w:rsidR="00304C31" w:rsidRPr="00061988" w:rsidRDefault="00D92FEF" w:rsidP="00445E98">
            <w:pPr>
              <w:rPr>
                <w:rFonts w:asciiTheme="minorHAnsi" w:hAnsiTheme="minorHAnsi"/>
                <w:color w:val="000000"/>
                <w:sz w:val="22"/>
              </w:rPr>
            </w:pPr>
            <w:r>
              <w:rPr>
                <w:rFonts w:asciiTheme="minorHAnsi" w:hAnsiTheme="minorHAnsi"/>
                <w:color w:val="000000"/>
                <w:sz w:val="22"/>
              </w:rPr>
              <w:t xml:space="preserve">The Association of Faculties of Medicine of Canada </w:t>
            </w:r>
          </w:p>
        </w:tc>
      </w:tr>
      <w:tr w:rsidR="00304C31" w:rsidRPr="00B84298" w14:paraId="62458355" w14:textId="77777777" w:rsidTr="00DE7901">
        <w:trPr>
          <w:cnfStyle w:val="000000100000" w:firstRow="0" w:lastRow="0" w:firstColumn="0" w:lastColumn="0" w:oddVBand="0" w:evenVBand="0" w:oddHBand="1" w:evenHBand="0" w:firstRowFirstColumn="0" w:firstRowLastColumn="0" w:lastRowFirstColumn="0" w:lastRowLastColumn="0"/>
          <w:trHeight w:val="354"/>
        </w:trPr>
        <w:tc>
          <w:tcPr>
            <w:cnfStyle w:val="000010000000" w:firstRow="0" w:lastRow="0" w:firstColumn="0" w:lastColumn="0" w:oddVBand="1" w:evenVBand="0" w:oddHBand="0" w:evenHBand="0" w:firstRowFirstColumn="0" w:firstRowLastColumn="0" w:lastRowFirstColumn="0" w:lastRowLastColumn="0"/>
            <w:tcW w:w="1556" w:type="dxa"/>
          </w:tcPr>
          <w:p w14:paraId="25A46B23" w14:textId="77777777" w:rsidR="00304C31" w:rsidRPr="00061988" w:rsidRDefault="00304C31" w:rsidP="00445E98">
            <w:pPr>
              <w:rPr>
                <w:rFonts w:asciiTheme="minorHAnsi" w:hAnsiTheme="minorHAnsi"/>
                <w:b/>
                <w:color w:val="000000"/>
                <w:sz w:val="22"/>
              </w:rPr>
            </w:pPr>
            <w:r w:rsidRPr="00061988">
              <w:rPr>
                <w:rFonts w:asciiTheme="minorHAnsi" w:hAnsiTheme="minorHAnsi"/>
                <w:b/>
                <w:color w:val="000000"/>
                <w:sz w:val="22"/>
              </w:rPr>
              <w:t>Approval:</w:t>
            </w:r>
          </w:p>
        </w:tc>
        <w:tc>
          <w:tcPr>
            <w:cnfStyle w:val="000001000000" w:firstRow="0" w:lastRow="0" w:firstColumn="0" w:lastColumn="0" w:oddVBand="0" w:evenVBand="1" w:oddHBand="0" w:evenHBand="0" w:firstRowFirstColumn="0" w:firstRowLastColumn="0" w:lastRowFirstColumn="0" w:lastRowLastColumn="0"/>
            <w:tcW w:w="5120" w:type="dxa"/>
          </w:tcPr>
          <w:p w14:paraId="2FAEDC48" w14:textId="77777777" w:rsidR="00304C31" w:rsidRPr="00061988" w:rsidRDefault="00FE5D1A" w:rsidP="00445E98">
            <w:pPr>
              <w:rPr>
                <w:rFonts w:asciiTheme="minorHAnsi" w:hAnsiTheme="minorHAnsi"/>
                <w:color w:val="000000"/>
                <w:sz w:val="22"/>
              </w:rPr>
            </w:pPr>
            <w:r>
              <w:rPr>
                <w:rFonts w:asciiTheme="minorHAnsi" w:hAnsiTheme="minorHAnsi"/>
                <w:color w:val="000000"/>
                <w:sz w:val="22"/>
              </w:rPr>
              <w:t>Postgraduate Deans</w:t>
            </w:r>
          </w:p>
        </w:tc>
      </w:tr>
      <w:tr w:rsidR="00304C31" w:rsidRPr="00B84298" w14:paraId="0FD45151" w14:textId="77777777" w:rsidTr="00DE7901">
        <w:trPr>
          <w:trHeight w:val="354"/>
        </w:trPr>
        <w:tc>
          <w:tcPr>
            <w:cnfStyle w:val="000010000000" w:firstRow="0" w:lastRow="0" w:firstColumn="0" w:lastColumn="0" w:oddVBand="1" w:evenVBand="0" w:oddHBand="0" w:evenHBand="0" w:firstRowFirstColumn="0" w:firstRowLastColumn="0" w:lastRowFirstColumn="0" w:lastRowLastColumn="0"/>
            <w:tcW w:w="1556" w:type="dxa"/>
          </w:tcPr>
          <w:p w14:paraId="1FCC312B" w14:textId="77777777" w:rsidR="00304C31" w:rsidRPr="00061988" w:rsidRDefault="00304C31" w:rsidP="00445E98">
            <w:pPr>
              <w:rPr>
                <w:rFonts w:asciiTheme="minorHAnsi" w:hAnsiTheme="minorHAnsi"/>
                <w:b/>
                <w:color w:val="000000"/>
                <w:sz w:val="22"/>
              </w:rPr>
            </w:pPr>
            <w:r w:rsidRPr="00061988">
              <w:rPr>
                <w:rFonts w:asciiTheme="minorHAnsi" w:hAnsiTheme="minorHAnsi"/>
                <w:b/>
                <w:color w:val="000000"/>
                <w:sz w:val="22"/>
              </w:rPr>
              <w:t>Date:</w:t>
            </w:r>
          </w:p>
        </w:tc>
        <w:tc>
          <w:tcPr>
            <w:cnfStyle w:val="000001000000" w:firstRow="0" w:lastRow="0" w:firstColumn="0" w:lastColumn="0" w:oddVBand="0" w:evenVBand="1" w:oddHBand="0" w:evenHBand="0" w:firstRowFirstColumn="0" w:firstRowLastColumn="0" w:lastRowFirstColumn="0" w:lastRowLastColumn="0"/>
            <w:tcW w:w="5120" w:type="dxa"/>
          </w:tcPr>
          <w:p w14:paraId="7786F790" w14:textId="77777777" w:rsidR="00304C31" w:rsidRPr="00061988" w:rsidRDefault="00DE7901" w:rsidP="00445E98">
            <w:pPr>
              <w:rPr>
                <w:rFonts w:asciiTheme="minorHAnsi" w:hAnsiTheme="minorHAnsi"/>
                <w:color w:val="000000"/>
                <w:sz w:val="22"/>
              </w:rPr>
            </w:pPr>
            <w:r>
              <w:rPr>
                <w:rFonts w:asciiTheme="minorHAnsi" w:hAnsiTheme="minorHAnsi"/>
                <w:color w:val="000000"/>
                <w:sz w:val="22"/>
              </w:rPr>
              <w:t>November 2015</w:t>
            </w:r>
          </w:p>
        </w:tc>
      </w:tr>
    </w:tbl>
    <w:p w14:paraId="5F404998" w14:textId="77777777" w:rsidR="00304C31" w:rsidRDefault="00304C31" w:rsidP="00304C31">
      <w:pPr>
        <w:pStyle w:val="Heading2"/>
        <w:rPr>
          <w:rFonts w:asciiTheme="minorHAnsi" w:hAnsiTheme="minorHAnsi"/>
          <w:i w:val="0"/>
        </w:rPr>
      </w:pPr>
      <w:r w:rsidRPr="00B84298">
        <w:rPr>
          <w:rFonts w:asciiTheme="minorHAnsi" w:hAnsiTheme="minorHAnsi"/>
          <w:i w:val="0"/>
        </w:rPr>
        <w:t>Purpose:</w:t>
      </w:r>
    </w:p>
    <w:p w14:paraId="40543CC3" w14:textId="77777777" w:rsidR="005809FC" w:rsidRPr="005809FC" w:rsidRDefault="005809FC" w:rsidP="005809FC">
      <w:pPr>
        <w:autoSpaceDE w:val="0"/>
        <w:autoSpaceDN w:val="0"/>
        <w:adjustRightInd w:val="0"/>
        <w:jc w:val="both"/>
        <w:rPr>
          <w:rFonts w:asciiTheme="minorHAnsi" w:hAnsiTheme="minorHAnsi" w:cs="Arial"/>
          <w:szCs w:val="20"/>
        </w:rPr>
      </w:pPr>
      <w:r w:rsidRPr="005809FC">
        <w:rPr>
          <w:rFonts w:asciiTheme="minorHAnsi" w:hAnsiTheme="minorHAnsi" w:cs="Arial"/>
          <w:szCs w:val="20"/>
        </w:rPr>
        <w:t>The Postgraduate Medical Education Offices across Canada are supportive of transfers from</w:t>
      </w:r>
      <w:r>
        <w:rPr>
          <w:rFonts w:asciiTheme="minorHAnsi" w:hAnsiTheme="minorHAnsi" w:cs="Arial"/>
          <w:szCs w:val="20"/>
        </w:rPr>
        <w:t xml:space="preserve"> </w:t>
      </w:r>
      <w:r w:rsidRPr="005809FC">
        <w:rPr>
          <w:rFonts w:asciiTheme="minorHAnsi" w:hAnsiTheme="minorHAnsi" w:cs="Arial"/>
          <w:szCs w:val="20"/>
        </w:rPr>
        <w:t>institution to institution. These guidelines are intended to provide a transparent process that is</w:t>
      </w:r>
      <w:r>
        <w:rPr>
          <w:rFonts w:asciiTheme="minorHAnsi" w:hAnsiTheme="minorHAnsi" w:cs="Arial"/>
          <w:szCs w:val="20"/>
        </w:rPr>
        <w:t xml:space="preserve"> </w:t>
      </w:r>
      <w:r w:rsidRPr="005809FC">
        <w:rPr>
          <w:rFonts w:asciiTheme="minorHAnsi" w:hAnsiTheme="minorHAnsi" w:cs="Arial"/>
          <w:szCs w:val="20"/>
        </w:rPr>
        <w:t>clear to both the Resident and Universities involved. Prior to engaging in discussion regarding a</w:t>
      </w:r>
      <w:r>
        <w:rPr>
          <w:rFonts w:asciiTheme="minorHAnsi" w:hAnsiTheme="minorHAnsi" w:cs="Arial"/>
          <w:szCs w:val="20"/>
        </w:rPr>
        <w:t xml:space="preserve"> </w:t>
      </w:r>
      <w:r w:rsidRPr="005809FC">
        <w:rPr>
          <w:rFonts w:asciiTheme="minorHAnsi" w:hAnsiTheme="minorHAnsi" w:cs="Arial"/>
          <w:szCs w:val="20"/>
        </w:rPr>
        <w:t>transfer, it is the responsibility of the Resident to review the national guidelines as well as his or</w:t>
      </w:r>
      <w:r>
        <w:rPr>
          <w:rFonts w:asciiTheme="minorHAnsi" w:hAnsiTheme="minorHAnsi" w:cs="Arial"/>
          <w:szCs w:val="20"/>
        </w:rPr>
        <w:t xml:space="preserve"> </w:t>
      </w:r>
      <w:r w:rsidRPr="005809FC">
        <w:rPr>
          <w:rFonts w:asciiTheme="minorHAnsi" w:hAnsiTheme="minorHAnsi" w:cs="Arial"/>
          <w:szCs w:val="20"/>
        </w:rPr>
        <w:t>her home school’s transfer guideline/policy.</w:t>
      </w:r>
    </w:p>
    <w:p w14:paraId="7AABD7EF" w14:textId="77777777" w:rsidR="00304C31" w:rsidRDefault="00304C31" w:rsidP="00304C31">
      <w:pPr>
        <w:pStyle w:val="Heading2"/>
        <w:rPr>
          <w:rFonts w:asciiTheme="minorHAnsi" w:hAnsiTheme="minorHAnsi"/>
          <w:i w:val="0"/>
        </w:rPr>
      </w:pPr>
      <w:r w:rsidRPr="00B84298">
        <w:rPr>
          <w:rFonts w:asciiTheme="minorHAnsi" w:hAnsiTheme="minorHAnsi"/>
          <w:i w:val="0"/>
        </w:rPr>
        <w:t>Principles:</w:t>
      </w:r>
    </w:p>
    <w:p w14:paraId="2D87D686" w14:textId="77777777" w:rsidR="005809FC" w:rsidRPr="005809FC" w:rsidRDefault="005809FC" w:rsidP="005809FC">
      <w:pPr>
        <w:autoSpaceDE w:val="0"/>
        <w:autoSpaceDN w:val="0"/>
        <w:adjustRightInd w:val="0"/>
        <w:jc w:val="both"/>
        <w:rPr>
          <w:rFonts w:asciiTheme="minorHAnsi" w:hAnsiTheme="minorHAnsi" w:cs="Arial"/>
          <w:szCs w:val="20"/>
        </w:rPr>
      </w:pPr>
      <w:r w:rsidRPr="005809FC">
        <w:rPr>
          <w:rFonts w:asciiTheme="minorHAnsi" w:hAnsiTheme="minorHAnsi" w:cs="Arial"/>
          <w:szCs w:val="20"/>
        </w:rPr>
        <w:t>The following are basic principles to which all PGME Offices adhere regarding Resident transfers:</w:t>
      </w:r>
    </w:p>
    <w:p w14:paraId="4F3D9F55" w14:textId="77777777" w:rsidR="005809FC" w:rsidRPr="005809FC" w:rsidRDefault="005809FC" w:rsidP="005809FC">
      <w:pPr>
        <w:autoSpaceDE w:val="0"/>
        <w:autoSpaceDN w:val="0"/>
        <w:adjustRightInd w:val="0"/>
        <w:jc w:val="both"/>
        <w:rPr>
          <w:rFonts w:asciiTheme="minorHAnsi" w:hAnsiTheme="minorHAnsi" w:cs="Arial"/>
          <w:szCs w:val="20"/>
        </w:rPr>
      </w:pPr>
    </w:p>
    <w:p w14:paraId="0A1652C1" w14:textId="77777777" w:rsidR="005809FC" w:rsidRPr="005809FC" w:rsidRDefault="005809FC" w:rsidP="005809FC">
      <w:pPr>
        <w:pStyle w:val="ListParagraph"/>
        <w:numPr>
          <w:ilvl w:val="0"/>
          <w:numId w:val="1"/>
        </w:numPr>
        <w:autoSpaceDE w:val="0"/>
        <w:autoSpaceDN w:val="0"/>
        <w:adjustRightInd w:val="0"/>
        <w:jc w:val="both"/>
        <w:rPr>
          <w:rFonts w:cs="Arial"/>
          <w:sz w:val="24"/>
          <w:szCs w:val="20"/>
        </w:rPr>
      </w:pPr>
      <w:r w:rsidRPr="005809FC">
        <w:rPr>
          <w:rFonts w:cs="Arial"/>
          <w:sz w:val="24"/>
          <w:szCs w:val="20"/>
        </w:rPr>
        <w:t>Transfers should not subvert the CaRMS match, and consideration will not be given until at least 6 month</w:t>
      </w:r>
      <w:r w:rsidR="006761A4">
        <w:rPr>
          <w:rFonts w:cs="Arial"/>
          <w:sz w:val="24"/>
          <w:szCs w:val="20"/>
        </w:rPr>
        <w:t xml:space="preserve">s and adequate </w:t>
      </w:r>
      <w:r w:rsidRPr="005809FC">
        <w:rPr>
          <w:rFonts w:cs="Arial"/>
          <w:sz w:val="24"/>
          <w:szCs w:val="20"/>
        </w:rPr>
        <w:t>exposure to the Resident’s home discipline, as determined by the Associate Dean, PGME at the HOME University.</w:t>
      </w:r>
    </w:p>
    <w:p w14:paraId="1571658C" w14:textId="77777777" w:rsidR="005809FC" w:rsidRPr="005809FC" w:rsidRDefault="005809FC" w:rsidP="005809FC">
      <w:pPr>
        <w:pStyle w:val="ListParagraph"/>
        <w:autoSpaceDE w:val="0"/>
        <w:autoSpaceDN w:val="0"/>
        <w:adjustRightInd w:val="0"/>
        <w:jc w:val="both"/>
        <w:rPr>
          <w:rFonts w:cs="Arial"/>
          <w:sz w:val="24"/>
          <w:szCs w:val="20"/>
        </w:rPr>
      </w:pPr>
    </w:p>
    <w:p w14:paraId="3A515E83" w14:textId="77777777" w:rsidR="005809FC" w:rsidRPr="005809FC" w:rsidRDefault="005809FC" w:rsidP="005809FC">
      <w:pPr>
        <w:pStyle w:val="ListParagraph"/>
        <w:numPr>
          <w:ilvl w:val="0"/>
          <w:numId w:val="1"/>
        </w:numPr>
        <w:autoSpaceDE w:val="0"/>
        <w:autoSpaceDN w:val="0"/>
        <w:adjustRightInd w:val="0"/>
        <w:jc w:val="both"/>
        <w:rPr>
          <w:rFonts w:cs="Arial"/>
          <w:sz w:val="24"/>
          <w:szCs w:val="20"/>
        </w:rPr>
      </w:pPr>
      <w:r w:rsidRPr="005809FC">
        <w:rPr>
          <w:rFonts w:cs="Arial"/>
          <w:sz w:val="24"/>
          <w:szCs w:val="20"/>
        </w:rPr>
        <w:t>Discussions regarding transfer will remain confidential until such time as the Resident consents to disclosure of his/her intent to transfer.</w:t>
      </w:r>
    </w:p>
    <w:p w14:paraId="5EA39956" w14:textId="77777777" w:rsidR="005809FC" w:rsidRPr="005809FC" w:rsidRDefault="005809FC" w:rsidP="005809FC">
      <w:pPr>
        <w:pStyle w:val="ListParagraph"/>
        <w:jc w:val="both"/>
        <w:rPr>
          <w:rFonts w:cs="Arial"/>
          <w:sz w:val="24"/>
          <w:szCs w:val="20"/>
        </w:rPr>
      </w:pPr>
    </w:p>
    <w:p w14:paraId="453E589A" w14:textId="77777777" w:rsidR="005809FC" w:rsidRPr="005809FC" w:rsidRDefault="005809FC" w:rsidP="005809FC">
      <w:pPr>
        <w:pStyle w:val="ListParagraph"/>
        <w:numPr>
          <w:ilvl w:val="0"/>
          <w:numId w:val="1"/>
        </w:numPr>
        <w:autoSpaceDE w:val="0"/>
        <w:autoSpaceDN w:val="0"/>
        <w:adjustRightInd w:val="0"/>
        <w:jc w:val="both"/>
        <w:rPr>
          <w:rFonts w:cs="Arial"/>
          <w:sz w:val="24"/>
          <w:szCs w:val="20"/>
        </w:rPr>
      </w:pPr>
      <w:r w:rsidRPr="005809FC">
        <w:rPr>
          <w:rFonts w:cs="Arial"/>
          <w:sz w:val="24"/>
          <w:szCs w:val="20"/>
        </w:rPr>
        <w:t>Provincial government funding is not transferrable between institutions. Special cases that require the transfer of government funding are to be resolved between concerned PGME Offices.</w:t>
      </w:r>
    </w:p>
    <w:p w14:paraId="03D9D60E" w14:textId="77777777" w:rsidR="005809FC" w:rsidRPr="005809FC" w:rsidRDefault="005809FC" w:rsidP="005809FC">
      <w:pPr>
        <w:pStyle w:val="ListParagraph"/>
        <w:jc w:val="both"/>
        <w:rPr>
          <w:rFonts w:cs="Arial"/>
          <w:sz w:val="24"/>
          <w:szCs w:val="20"/>
        </w:rPr>
      </w:pPr>
    </w:p>
    <w:p w14:paraId="56F57CD9" w14:textId="77777777" w:rsidR="005809FC" w:rsidRPr="005809FC" w:rsidRDefault="005809FC" w:rsidP="005809FC">
      <w:pPr>
        <w:pStyle w:val="ListParagraph"/>
        <w:numPr>
          <w:ilvl w:val="0"/>
          <w:numId w:val="1"/>
        </w:numPr>
        <w:autoSpaceDE w:val="0"/>
        <w:autoSpaceDN w:val="0"/>
        <w:adjustRightInd w:val="0"/>
        <w:jc w:val="both"/>
        <w:rPr>
          <w:rFonts w:cs="Arial"/>
          <w:sz w:val="24"/>
          <w:szCs w:val="20"/>
        </w:rPr>
      </w:pPr>
      <w:r w:rsidRPr="005809FC">
        <w:rPr>
          <w:rFonts w:cs="Arial"/>
          <w:sz w:val="24"/>
          <w:szCs w:val="20"/>
        </w:rPr>
        <w:t>The local Faculty of Medicine guideline/policy takes precedent over the national guidelines.</w:t>
      </w:r>
    </w:p>
    <w:p w14:paraId="22C37FA7" w14:textId="77777777" w:rsidR="005809FC" w:rsidRPr="005809FC" w:rsidRDefault="005809FC" w:rsidP="005809FC">
      <w:pPr>
        <w:pStyle w:val="ListParagraph"/>
        <w:jc w:val="both"/>
        <w:rPr>
          <w:rFonts w:cs="Arial"/>
          <w:sz w:val="24"/>
          <w:szCs w:val="20"/>
        </w:rPr>
      </w:pPr>
    </w:p>
    <w:p w14:paraId="4104F5F2" w14:textId="77777777" w:rsidR="005809FC" w:rsidRDefault="005809FC" w:rsidP="00304C31">
      <w:pPr>
        <w:pStyle w:val="ListParagraph"/>
        <w:numPr>
          <w:ilvl w:val="0"/>
          <w:numId w:val="1"/>
        </w:numPr>
        <w:autoSpaceDE w:val="0"/>
        <w:autoSpaceDN w:val="0"/>
        <w:adjustRightInd w:val="0"/>
        <w:jc w:val="both"/>
        <w:rPr>
          <w:rFonts w:cs="Arial"/>
          <w:sz w:val="24"/>
          <w:szCs w:val="20"/>
        </w:rPr>
      </w:pPr>
      <w:r w:rsidRPr="005809FC">
        <w:rPr>
          <w:rFonts w:cs="Arial"/>
          <w:sz w:val="24"/>
          <w:szCs w:val="20"/>
        </w:rPr>
        <w:t>Residents have the ability to access positions in the second iteration of CaRMS, with the exception of Quebec. It is the Resident’s responsibility to clear any return-of-service commitments with the provincial Ministry of Health. Quebec programs will not consider any Residents with return-of-service obligations to other jurisdictions.</w:t>
      </w:r>
    </w:p>
    <w:p w14:paraId="765C1B4E" w14:textId="77777777" w:rsidR="00FE5D1A" w:rsidRPr="00FE5D1A" w:rsidRDefault="00FE5D1A" w:rsidP="00FE5D1A">
      <w:pPr>
        <w:pStyle w:val="ListParagraph"/>
        <w:rPr>
          <w:rFonts w:cs="Arial"/>
          <w:sz w:val="24"/>
          <w:szCs w:val="20"/>
        </w:rPr>
      </w:pPr>
    </w:p>
    <w:p w14:paraId="469069BC" w14:textId="77777777" w:rsidR="00FE5D1A" w:rsidRPr="005809FC" w:rsidRDefault="00FE5D1A" w:rsidP="00FE5D1A">
      <w:pPr>
        <w:pStyle w:val="ListParagraph"/>
        <w:autoSpaceDE w:val="0"/>
        <w:autoSpaceDN w:val="0"/>
        <w:adjustRightInd w:val="0"/>
        <w:jc w:val="both"/>
        <w:rPr>
          <w:rFonts w:cs="Arial"/>
          <w:sz w:val="24"/>
          <w:szCs w:val="20"/>
        </w:rPr>
      </w:pPr>
    </w:p>
    <w:p w14:paraId="2D352871" w14:textId="77777777" w:rsidR="00B84298" w:rsidRDefault="00B84298" w:rsidP="00B84298">
      <w:pPr>
        <w:pStyle w:val="Heading2"/>
        <w:rPr>
          <w:rFonts w:asciiTheme="minorHAnsi" w:hAnsiTheme="minorHAnsi"/>
          <w:i w:val="0"/>
        </w:rPr>
      </w:pPr>
      <w:r>
        <w:rPr>
          <w:rFonts w:asciiTheme="minorHAnsi" w:hAnsiTheme="minorHAnsi"/>
          <w:i w:val="0"/>
        </w:rPr>
        <w:lastRenderedPageBreak/>
        <w:t>Definitions</w:t>
      </w:r>
      <w:r w:rsidRPr="00B84298">
        <w:rPr>
          <w:rFonts w:asciiTheme="minorHAnsi" w:hAnsiTheme="minorHAnsi"/>
          <w:i w:val="0"/>
        </w:rPr>
        <w:t>:</w:t>
      </w:r>
    </w:p>
    <w:p w14:paraId="6B5D340A" w14:textId="77777777" w:rsidR="006761A4" w:rsidRPr="006761A4" w:rsidRDefault="006761A4" w:rsidP="006761A4">
      <w:pPr>
        <w:pStyle w:val="Heading2"/>
        <w:rPr>
          <w:rFonts w:asciiTheme="minorHAnsi" w:hAnsiTheme="minorHAnsi"/>
          <w:b w:val="0"/>
          <w:i w:val="0"/>
          <w:color w:val="auto"/>
          <w:sz w:val="24"/>
        </w:rPr>
      </w:pPr>
      <w:r w:rsidRPr="006761A4">
        <w:rPr>
          <w:rFonts w:asciiTheme="minorHAnsi" w:hAnsiTheme="minorHAnsi"/>
          <w:b w:val="0"/>
          <w:i w:val="0"/>
          <w:color w:val="auto"/>
          <w:sz w:val="24"/>
        </w:rPr>
        <w:t>n/a</w:t>
      </w:r>
    </w:p>
    <w:p w14:paraId="71A25E4A" w14:textId="77777777" w:rsidR="00304C31" w:rsidRDefault="00304C31" w:rsidP="00304C31">
      <w:pPr>
        <w:pStyle w:val="Heading2"/>
        <w:rPr>
          <w:rFonts w:asciiTheme="minorHAnsi" w:hAnsiTheme="minorHAnsi"/>
          <w:i w:val="0"/>
        </w:rPr>
      </w:pPr>
      <w:r w:rsidRPr="00B84298">
        <w:rPr>
          <w:rFonts w:asciiTheme="minorHAnsi" w:hAnsiTheme="minorHAnsi"/>
          <w:i w:val="0"/>
        </w:rPr>
        <w:t>Scope of this Policy:</w:t>
      </w:r>
    </w:p>
    <w:p w14:paraId="7D08240E" w14:textId="77777777" w:rsidR="006761A4" w:rsidRPr="009A11C9" w:rsidRDefault="006761A4" w:rsidP="009A11C9">
      <w:pPr>
        <w:autoSpaceDE w:val="0"/>
        <w:autoSpaceDN w:val="0"/>
        <w:adjustRightInd w:val="0"/>
        <w:jc w:val="both"/>
        <w:rPr>
          <w:rFonts w:asciiTheme="minorHAnsi" w:hAnsiTheme="minorHAnsi" w:cs="Arial"/>
          <w:szCs w:val="20"/>
        </w:rPr>
      </w:pPr>
      <w:r w:rsidRPr="006761A4">
        <w:rPr>
          <w:rFonts w:asciiTheme="minorHAnsi" w:hAnsiTheme="minorHAnsi" w:cs="Arial"/>
          <w:szCs w:val="20"/>
        </w:rPr>
        <w:t>These guidelines apply to Residents currently enrolled in a postgraduate training program in</w:t>
      </w:r>
      <w:r>
        <w:rPr>
          <w:rFonts w:asciiTheme="minorHAnsi" w:hAnsiTheme="minorHAnsi" w:cs="Arial"/>
          <w:szCs w:val="20"/>
        </w:rPr>
        <w:t xml:space="preserve"> </w:t>
      </w:r>
      <w:r w:rsidRPr="006761A4">
        <w:rPr>
          <w:rFonts w:asciiTheme="minorHAnsi" w:hAnsiTheme="minorHAnsi" w:cs="Arial"/>
          <w:szCs w:val="20"/>
        </w:rPr>
        <w:t>Canada (subject to the criteria of the RECEIVING provincial licensing jurisdiction(s) and the</w:t>
      </w:r>
      <w:r>
        <w:rPr>
          <w:rFonts w:asciiTheme="minorHAnsi" w:hAnsiTheme="minorHAnsi" w:cs="Arial"/>
          <w:szCs w:val="20"/>
        </w:rPr>
        <w:t xml:space="preserve"> RECEIVING University). </w:t>
      </w:r>
      <w:r w:rsidRPr="006761A4">
        <w:rPr>
          <w:rFonts w:asciiTheme="minorHAnsi" w:hAnsiTheme="minorHAnsi" w:cs="Arial"/>
          <w:szCs w:val="20"/>
        </w:rPr>
        <w:t>These guidelines apply to all transfers that take place outside of the second iteration of CaRMS.</w:t>
      </w:r>
    </w:p>
    <w:p w14:paraId="3C5C31EF" w14:textId="77777777" w:rsidR="00304C31" w:rsidRDefault="00304C31" w:rsidP="00304C31">
      <w:pPr>
        <w:pStyle w:val="Heading2"/>
        <w:tabs>
          <w:tab w:val="num" w:pos="1800"/>
        </w:tabs>
        <w:rPr>
          <w:rFonts w:asciiTheme="minorHAnsi" w:hAnsiTheme="minorHAnsi"/>
          <w:i w:val="0"/>
        </w:rPr>
      </w:pPr>
      <w:r w:rsidRPr="00B84298">
        <w:rPr>
          <w:rFonts w:asciiTheme="minorHAnsi" w:hAnsiTheme="minorHAnsi"/>
          <w:i w:val="0"/>
        </w:rPr>
        <w:t>Policy:</w:t>
      </w:r>
    </w:p>
    <w:p w14:paraId="37F4799D" w14:textId="77777777" w:rsidR="009A11C9" w:rsidRPr="009A11C9" w:rsidRDefault="00DE7901" w:rsidP="00FE5D1A">
      <w:pPr>
        <w:pStyle w:val="Heading2"/>
        <w:numPr>
          <w:ilvl w:val="0"/>
          <w:numId w:val="2"/>
        </w:numPr>
        <w:spacing w:before="0" w:beforeAutospacing="0" w:after="240" w:afterAutospacing="0"/>
        <w:jc w:val="both"/>
        <w:rPr>
          <w:rFonts w:asciiTheme="minorHAnsi" w:hAnsiTheme="minorHAnsi"/>
          <w:i w:val="0"/>
          <w:color w:val="auto"/>
          <w:sz w:val="24"/>
        </w:rPr>
      </w:pPr>
      <w:r>
        <w:rPr>
          <w:rFonts w:asciiTheme="minorHAnsi" w:hAnsiTheme="minorHAnsi"/>
          <w:i w:val="0"/>
          <w:color w:val="auto"/>
          <w:sz w:val="24"/>
        </w:rPr>
        <w:t>Initial enquiry</w:t>
      </w:r>
      <w:r w:rsidR="009A11C9" w:rsidRPr="009A11C9">
        <w:rPr>
          <w:rFonts w:asciiTheme="minorHAnsi" w:hAnsiTheme="minorHAnsi"/>
          <w:i w:val="0"/>
          <w:color w:val="auto"/>
          <w:sz w:val="24"/>
        </w:rPr>
        <w:t xml:space="preserve"> </w:t>
      </w:r>
    </w:p>
    <w:p w14:paraId="38EA4311" w14:textId="77777777" w:rsidR="009A11C9" w:rsidRPr="009A11C9" w:rsidRDefault="009A11C9" w:rsidP="00FE5D1A">
      <w:pPr>
        <w:pStyle w:val="Heading2"/>
        <w:numPr>
          <w:ilvl w:val="1"/>
          <w:numId w:val="3"/>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 xml:space="preserve">A Resident who is interested in pursuing a transfer to another Canadian University should contact the Postgraduate Medical Education (PGME) Office of his/her HOME University to register their interest in transfer. </w:t>
      </w:r>
    </w:p>
    <w:p w14:paraId="0E1BC483" w14:textId="77777777" w:rsidR="009A11C9" w:rsidRPr="009A11C9" w:rsidRDefault="009A11C9" w:rsidP="00FE5D1A">
      <w:pPr>
        <w:pStyle w:val="Heading2"/>
        <w:numPr>
          <w:ilvl w:val="1"/>
          <w:numId w:val="3"/>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 xml:space="preserve">The PGME Office of the HOME University will notify the PGME Office(s) of the desired University(s) of the Resident’s interest in transfer. </w:t>
      </w:r>
    </w:p>
    <w:p w14:paraId="5A4E8731" w14:textId="77777777" w:rsidR="009A11C9" w:rsidRPr="009A11C9" w:rsidRDefault="009A11C9" w:rsidP="00FE5D1A">
      <w:pPr>
        <w:pStyle w:val="Heading2"/>
        <w:numPr>
          <w:ilvl w:val="1"/>
          <w:numId w:val="3"/>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 xml:space="preserve">The RECEIVING PGME Office will review the request and determine whether clinical training capacity and funding capacity is available. </w:t>
      </w:r>
    </w:p>
    <w:p w14:paraId="11A54615" w14:textId="77777777" w:rsidR="009A11C9" w:rsidRPr="009A11C9" w:rsidRDefault="009A11C9" w:rsidP="00FE5D1A">
      <w:pPr>
        <w:pStyle w:val="Heading2"/>
        <w:numPr>
          <w:ilvl w:val="1"/>
          <w:numId w:val="3"/>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The RECEIVING PGME Office will inform the HOME PGME Office if the RECEIVING program can or cannot receive a transfer application. If they are able to review the request the RECEIVING PGME Office would request the documentation identified below.</w:t>
      </w:r>
    </w:p>
    <w:p w14:paraId="0C7E60F5" w14:textId="77777777" w:rsidR="009A11C9" w:rsidRPr="009A11C9" w:rsidRDefault="009A11C9" w:rsidP="00DE7901">
      <w:pPr>
        <w:pStyle w:val="Heading2"/>
        <w:numPr>
          <w:ilvl w:val="1"/>
          <w:numId w:val="3"/>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 xml:space="preserve">The Resident must provide his/her consent for their HOME PGME Office to release the following documents/information to the RECEIVING PGME Office: </w:t>
      </w:r>
    </w:p>
    <w:p w14:paraId="675A5BDC" w14:textId="77777777" w:rsidR="009A11C9" w:rsidRPr="009A11C9" w:rsidRDefault="009A11C9" w:rsidP="00FE5D1A">
      <w:pPr>
        <w:pStyle w:val="Heading2"/>
        <w:numPr>
          <w:ilvl w:val="2"/>
          <w:numId w:val="5"/>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 xml:space="preserve">All in-training assessments </w:t>
      </w:r>
    </w:p>
    <w:p w14:paraId="1083045B" w14:textId="77777777" w:rsidR="009A11C9" w:rsidRPr="009A11C9" w:rsidRDefault="00DE7901" w:rsidP="00DE7901">
      <w:pPr>
        <w:pStyle w:val="Heading2"/>
        <w:numPr>
          <w:ilvl w:val="2"/>
          <w:numId w:val="5"/>
        </w:numPr>
        <w:spacing w:before="0" w:beforeAutospacing="0" w:after="0" w:afterAutospacing="0"/>
        <w:jc w:val="both"/>
        <w:rPr>
          <w:rFonts w:asciiTheme="minorHAnsi" w:hAnsiTheme="minorHAnsi"/>
          <w:b w:val="0"/>
          <w:i w:val="0"/>
          <w:color w:val="auto"/>
          <w:sz w:val="24"/>
        </w:rPr>
      </w:pPr>
      <w:r>
        <w:rPr>
          <w:rFonts w:asciiTheme="minorHAnsi" w:hAnsiTheme="minorHAnsi"/>
          <w:b w:val="0"/>
          <w:i w:val="0"/>
          <w:color w:val="auto"/>
          <w:sz w:val="24"/>
        </w:rPr>
        <w:t>S</w:t>
      </w:r>
      <w:r w:rsidR="009A11C9" w:rsidRPr="009A11C9">
        <w:rPr>
          <w:rFonts w:asciiTheme="minorHAnsi" w:hAnsiTheme="minorHAnsi"/>
          <w:b w:val="0"/>
          <w:i w:val="0"/>
          <w:color w:val="auto"/>
          <w:sz w:val="24"/>
        </w:rPr>
        <w:t xml:space="preserve">ummary of Training Record from the Home University (including leaves from the program) </w:t>
      </w:r>
    </w:p>
    <w:p w14:paraId="0D4ACD16" w14:textId="77777777" w:rsidR="00DE7901" w:rsidRDefault="009A11C9" w:rsidP="00DE7901">
      <w:pPr>
        <w:pStyle w:val="Heading2"/>
        <w:numPr>
          <w:ilvl w:val="2"/>
          <w:numId w:val="5"/>
        </w:numPr>
        <w:spacing w:before="0" w:beforeAutospacing="0" w:after="0" w:afterAutospacing="0"/>
        <w:jc w:val="both"/>
        <w:rPr>
          <w:rFonts w:asciiTheme="minorHAnsi" w:hAnsiTheme="minorHAnsi"/>
          <w:b w:val="0"/>
          <w:i w:val="0"/>
          <w:color w:val="auto"/>
          <w:sz w:val="24"/>
        </w:rPr>
      </w:pPr>
      <w:r w:rsidRPr="009A11C9">
        <w:rPr>
          <w:rFonts w:asciiTheme="minorHAnsi" w:hAnsiTheme="minorHAnsi"/>
          <w:b w:val="0"/>
          <w:i w:val="0"/>
          <w:color w:val="auto"/>
          <w:sz w:val="24"/>
        </w:rPr>
        <w:t>Brief summary from the PGME Office regarding any remediation and outcomes. If t</w:t>
      </w:r>
      <w:r w:rsidR="00DE7901">
        <w:rPr>
          <w:rFonts w:asciiTheme="minorHAnsi" w:hAnsiTheme="minorHAnsi"/>
          <w:b w:val="0"/>
          <w:i w:val="0"/>
          <w:color w:val="auto"/>
          <w:sz w:val="24"/>
        </w:rPr>
        <w:t>here are ongoing investigations/</w:t>
      </w:r>
      <w:r w:rsidRPr="009A11C9">
        <w:rPr>
          <w:rFonts w:asciiTheme="minorHAnsi" w:hAnsiTheme="minorHAnsi"/>
          <w:b w:val="0"/>
          <w:i w:val="0"/>
          <w:color w:val="auto"/>
          <w:sz w:val="24"/>
        </w:rPr>
        <w:t>appeals in progress, the</w:t>
      </w:r>
      <w:r w:rsidR="00DE7901">
        <w:rPr>
          <w:rFonts w:asciiTheme="minorHAnsi" w:hAnsiTheme="minorHAnsi"/>
          <w:b w:val="0"/>
          <w:i w:val="0"/>
          <w:color w:val="auto"/>
          <w:sz w:val="24"/>
        </w:rPr>
        <w:t xml:space="preserve"> other school will be notified.</w:t>
      </w:r>
    </w:p>
    <w:p w14:paraId="09AA770C" w14:textId="77777777" w:rsidR="00DE7901" w:rsidRPr="00FE5D1A" w:rsidRDefault="009A11C9" w:rsidP="00FE5D1A">
      <w:pPr>
        <w:pStyle w:val="Heading2"/>
        <w:numPr>
          <w:ilvl w:val="2"/>
          <w:numId w:val="5"/>
        </w:numPr>
        <w:spacing w:before="0" w:beforeAutospacing="0" w:after="0" w:afterAutospacing="0"/>
        <w:jc w:val="both"/>
        <w:rPr>
          <w:rFonts w:asciiTheme="minorHAnsi" w:hAnsiTheme="minorHAnsi"/>
          <w:b w:val="0"/>
          <w:i w:val="0"/>
          <w:color w:val="auto"/>
          <w:sz w:val="24"/>
        </w:rPr>
      </w:pPr>
      <w:r w:rsidRPr="00DE7901">
        <w:rPr>
          <w:rFonts w:asciiTheme="minorHAnsi" w:hAnsiTheme="minorHAnsi"/>
          <w:b w:val="0"/>
          <w:i w:val="0"/>
          <w:color w:val="auto"/>
          <w:sz w:val="24"/>
        </w:rPr>
        <w:t>The Resident will also provide a brief letter outlining his/her request and the reason for the transfer.</w:t>
      </w:r>
    </w:p>
    <w:p w14:paraId="6BA5C7B8" w14:textId="77777777" w:rsidR="00DE7901" w:rsidRPr="00FE5D1A" w:rsidRDefault="009A11C9" w:rsidP="00FE5D1A">
      <w:pPr>
        <w:pStyle w:val="Heading2"/>
        <w:numPr>
          <w:ilvl w:val="1"/>
          <w:numId w:val="7"/>
        </w:numPr>
        <w:spacing w:before="0" w:beforeAutospacing="0" w:after="0" w:afterAutospacing="0"/>
        <w:jc w:val="both"/>
        <w:rPr>
          <w:rFonts w:asciiTheme="minorHAnsi" w:hAnsiTheme="minorHAnsi"/>
          <w:b w:val="0"/>
          <w:i w:val="0"/>
          <w:color w:val="auto"/>
          <w:sz w:val="24"/>
        </w:rPr>
      </w:pPr>
      <w:r w:rsidRPr="00DE7901">
        <w:rPr>
          <w:rFonts w:asciiTheme="minorHAnsi" w:hAnsiTheme="minorHAnsi"/>
          <w:b w:val="0"/>
          <w:i w:val="0"/>
          <w:color w:val="auto"/>
          <w:sz w:val="24"/>
        </w:rPr>
        <w:t xml:space="preserve">The file will be sent from the home PGME Office to the receiving PGME Office. </w:t>
      </w:r>
    </w:p>
    <w:p w14:paraId="51EBDF2B" w14:textId="77777777" w:rsidR="009A11C9" w:rsidRPr="006D77C5" w:rsidRDefault="00DE7901" w:rsidP="00FE5D1A">
      <w:pPr>
        <w:pStyle w:val="Heading2"/>
        <w:numPr>
          <w:ilvl w:val="0"/>
          <w:numId w:val="5"/>
        </w:numPr>
        <w:spacing w:after="240" w:afterAutospacing="0"/>
        <w:jc w:val="both"/>
        <w:rPr>
          <w:rFonts w:asciiTheme="minorHAnsi" w:hAnsiTheme="minorHAnsi"/>
          <w:i w:val="0"/>
          <w:color w:val="auto"/>
          <w:sz w:val="24"/>
        </w:rPr>
      </w:pPr>
      <w:r>
        <w:rPr>
          <w:rFonts w:asciiTheme="minorHAnsi" w:hAnsiTheme="minorHAnsi"/>
          <w:i w:val="0"/>
          <w:color w:val="auto"/>
          <w:sz w:val="24"/>
        </w:rPr>
        <w:t>If consideration is possible</w:t>
      </w:r>
    </w:p>
    <w:p w14:paraId="60DD623D" w14:textId="77777777" w:rsidR="006D77C5" w:rsidRPr="006D77C5" w:rsidRDefault="009A11C9" w:rsidP="00FE5D1A">
      <w:pPr>
        <w:pStyle w:val="Heading2"/>
        <w:numPr>
          <w:ilvl w:val="0"/>
          <w:numId w:val="9"/>
        </w:numPr>
        <w:spacing w:before="0" w:beforeAutospacing="0"/>
        <w:jc w:val="both"/>
        <w:rPr>
          <w:rFonts w:asciiTheme="minorHAnsi" w:hAnsiTheme="minorHAnsi"/>
          <w:b w:val="0"/>
          <w:i w:val="0"/>
          <w:color w:val="auto"/>
          <w:sz w:val="24"/>
        </w:rPr>
      </w:pPr>
      <w:r w:rsidRPr="006D77C5">
        <w:rPr>
          <w:rFonts w:asciiTheme="minorHAnsi" w:hAnsiTheme="minorHAnsi"/>
          <w:b w:val="0"/>
          <w:i w:val="0"/>
          <w:color w:val="auto"/>
          <w:sz w:val="24"/>
        </w:rPr>
        <w:t xml:space="preserve">If there is agreement by the RECEIVING program to consider the candidate, then the Resident must contact the program for their program-specific selection process used by the RECEIVING program. </w:t>
      </w:r>
    </w:p>
    <w:p w14:paraId="280EB466" w14:textId="77777777" w:rsidR="006D77C5" w:rsidRPr="006D77C5" w:rsidRDefault="009A11C9" w:rsidP="00DE7901">
      <w:pPr>
        <w:pStyle w:val="Heading2"/>
        <w:numPr>
          <w:ilvl w:val="0"/>
          <w:numId w:val="11"/>
        </w:numPr>
        <w:rPr>
          <w:rFonts w:asciiTheme="minorHAnsi" w:hAnsiTheme="minorHAnsi"/>
          <w:i w:val="0"/>
          <w:color w:val="auto"/>
          <w:sz w:val="24"/>
        </w:rPr>
      </w:pPr>
      <w:r w:rsidRPr="006D77C5">
        <w:rPr>
          <w:rFonts w:asciiTheme="minorHAnsi" w:hAnsiTheme="minorHAnsi"/>
          <w:i w:val="0"/>
          <w:color w:val="auto"/>
          <w:sz w:val="24"/>
        </w:rPr>
        <w:t>If</w:t>
      </w:r>
      <w:r w:rsidR="00DE7901">
        <w:rPr>
          <w:rFonts w:asciiTheme="minorHAnsi" w:hAnsiTheme="minorHAnsi"/>
          <w:i w:val="0"/>
          <w:color w:val="auto"/>
          <w:sz w:val="24"/>
        </w:rPr>
        <w:t xml:space="preserve"> consideration is not possible</w:t>
      </w:r>
    </w:p>
    <w:p w14:paraId="572B78A8" w14:textId="77777777" w:rsidR="006D77C5" w:rsidRPr="006D77C5" w:rsidRDefault="009A11C9" w:rsidP="00DE7901">
      <w:pPr>
        <w:pStyle w:val="Heading2"/>
        <w:numPr>
          <w:ilvl w:val="0"/>
          <w:numId w:val="12"/>
        </w:numPr>
        <w:jc w:val="both"/>
        <w:rPr>
          <w:rFonts w:asciiTheme="minorHAnsi" w:hAnsiTheme="minorHAnsi"/>
          <w:b w:val="0"/>
          <w:i w:val="0"/>
          <w:color w:val="auto"/>
          <w:sz w:val="24"/>
        </w:rPr>
      </w:pPr>
      <w:r w:rsidRPr="006D77C5">
        <w:rPr>
          <w:rFonts w:asciiTheme="minorHAnsi" w:hAnsiTheme="minorHAnsi"/>
          <w:b w:val="0"/>
          <w:i w:val="0"/>
          <w:color w:val="auto"/>
          <w:sz w:val="24"/>
        </w:rPr>
        <w:lastRenderedPageBreak/>
        <w:t xml:space="preserve">If the RECEIVING PGME Office or program determines they cannot accommodate a transfer request, then the second iteration of CaRMS may be an alternate route where funding and resources have already been determined. It is up to the Resident to apply through this route if desired. In such a case, the policies and guidelines of the second iteration of CaRMS would apply. </w:t>
      </w:r>
    </w:p>
    <w:p w14:paraId="39C0A970" w14:textId="77777777" w:rsidR="006D77C5" w:rsidRPr="006D77C5" w:rsidRDefault="009A11C9" w:rsidP="00DE7901">
      <w:pPr>
        <w:pStyle w:val="Heading2"/>
        <w:numPr>
          <w:ilvl w:val="0"/>
          <w:numId w:val="14"/>
        </w:numPr>
        <w:jc w:val="both"/>
        <w:rPr>
          <w:rFonts w:asciiTheme="minorHAnsi" w:hAnsiTheme="minorHAnsi"/>
          <w:i w:val="0"/>
          <w:color w:val="auto"/>
          <w:sz w:val="24"/>
        </w:rPr>
      </w:pPr>
      <w:r w:rsidRPr="006D77C5">
        <w:rPr>
          <w:rFonts w:asciiTheme="minorHAnsi" w:hAnsiTheme="minorHAnsi"/>
          <w:i w:val="0"/>
          <w:color w:val="auto"/>
          <w:sz w:val="24"/>
        </w:rPr>
        <w:t xml:space="preserve">After acceptance into a transfer (RECEIVING) program: </w:t>
      </w:r>
    </w:p>
    <w:p w14:paraId="2F30F073" w14:textId="77777777" w:rsidR="006D77C5" w:rsidRPr="006D77C5" w:rsidRDefault="009A11C9" w:rsidP="00DE7901">
      <w:pPr>
        <w:pStyle w:val="Heading2"/>
        <w:numPr>
          <w:ilvl w:val="1"/>
          <w:numId w:val="15"/>
        </w:numPr>
        <w:spacing w:before="0" w:beforeAutospacing="0"/>
        <w:jc w:val="both"/>
        <w:rPr>
          <w:rFonts w:asciiTheme="minorHAnsi" w:hAnsiTheme="minorHAnsi"/>
          <w:b w:val="0"/>
          <w:i w:val="0"/>
          <w:color w:val="auto"/>
          <w:sz w:val="24"/>
        </w:rPr>
      </w:pPr>
      <w:r w:rsidRPr="006D77C5">
        <w:rPr>
          <w:rFonts w:asciiTheme="minorHAnsi" w:hAnsiTheme="minorHAnsi"/>
          <w:b w:val="0"/>
          <w:i w:val="0"/>
          <w:color w:val="auto"/>
          <w:sz w:val="24"/>
        </w:rPr>
        <w:t>If the Resident is accepted into the RECEIVING program, the RECEIVING PGME Office, in consultation with the RECEIVING program, will issue a conditional offer contingent on the release from their HOME program. A copy of the letter of offer will be provided to the HOME program (so confidentiality will not be possible after this point).</w:t>
      </w:r>
    </w:p>
    <w:p w14:paraId="03853F8D" w14:textId="77777777" w:rsidR="006D77C5" w:rsidRPr="006D77C5" w:rsidRDefault="009A11C9" w:rsidP="00DE7901">
      <w:pPr>
        <w:pStyle w:val="Heading2"/>
        <w:numPr>
          <w:ilvl w:val="1"/>
          <w:numId w:val="15"/>
        </w:numPr>
        <w:spacing w:before="0" w:beforeAutospacing="0"/>
        <w:jc w:val="both"/>
        <w:rPr>
          <w:rFonts w:asciiTheme="minorHAnsi" w:hAnsiTheme="minorHAnsi"/>
          <w:b w:val="0"/>
          <w:i w:val="0"/>
          <w:color w:val="auto"/>
          <w:sz w:val="24"/>
        </w:rPr>
      </w:pPr>
      <w:r w:rsidRPr="006D77C5">
        <w:rPr>
          <w:rFonts w:asciiTheme="minorHAnsi" w:hAnsiTheme="minorHAnsi"/>
          <w:b w:val="0"/>
          <w:i w:val="0"/>
          <w:color w:val="auto"/>
          <w:sz w:val="24"/>
        </w:rPr>
        <w:t xml:space="preserve">Should the Resident decide to accept, s/he is expected to follow any additional internal steps required by their HOME PGME Office. </w:t>
      </w:r>
    </w:p>
    <w:p w14:paraId="29E3BA8C" w14:textId="77777777" w:rsidR="006D77C5" w:rsidRPr="006D77C5" w:rsidRDefault="009A11C9" w:rsidP="00DE7901">
      <w:pPr>
        <w:pStyle w:val="Heading2"/>
        <w:numPr>
          <w:ilvl w:val="1"/>
          <w:numId w:val="15"/>
        </w:numPr>
        <w:spacing w:before="0" w:beforeAutospacing="0"/>
        <w:jc w:val="both"/>
        <w:rPr>
          <w:rFonts w:asciiTheme="minorHAnsi" w:hAnsiTheme="minorHAnsi"/>
          <w:b w:val="0"/>
          <w:i w:val="0"/>
          <w:color w:val="auto"/>
          <w:sz w:val="24"/>
        </w:rPr>
      </w:pPr>
      <w:r w:rsidRPr="006D77C5">
        <w:rPr>
          <w:rFonts w:asciiTheme="minorHAnsi" w:hAnsiTheme="minorHAnsi"/>
          <w:b w:val="0"/>
          <w:i w:val="0"/>
          <w:color w:val="auto"/>
          <w:sz w:val="24"/>
        </w:rPr>
        <w:t xml:space="preserve">The Resident must write to their HOME Program Director (copied to the HOME PGME Office) to request a release from his/her HOME Program and arrive at a mutually acceptable departure date. </w:t>
      </w:r>
    </w:p>
    <w:p w14:paraId="20785AC9" w14:textId="77777777" w:rsidR="009A11C9" w:rsidRPr="006D77C5" w:rsidRDefault="009A11C9" w:rsidP="00DE7901">
      <w:pPr>
        <w:pStyle w:val="Heading2"/>
        <w:numPr>
          <w:ilvl w:val="1"/>
          <w:numId w:val="15"/>
        </w:numPr>
        <w:spacing w:before="0" w:beforeAutospacing="0"/>
        <w:jc w:val="both"/>
        <w:rPr>
          <w:rFonts w:asciiTheme="minorHAnsi" w:hAnsiTheme="minorHAnsi"/>
          <w:b w:val="0"/>
          <w:i w:val="0"/>
          <w:color w:val="auto"/>
          <w:sz w:val="24"/>
        </w:rPr>
      </w:pPr>
      <w:r w:rsidRPr="006D77C5">
        <w:rPr>
          <w:rFonts w:asciiTheme="minorHAnsi" w:hAnsiTheme="minorHAnsi"/>
          <w:b w:val="0"/>
          <w:i w:val="0"/>
          <w:color w:val="auto"/>
          <w:sz w:val="24"/>
        </w:rPr>
        <w:t>The HOME program will provide a written release, copied to the HOME PGME Office, including the agreed transfer date. All documentation, including verification of training dates, will be provided via the HOME PGME Office to the RECEIVING PGME Office.</w:t>
      </w:r>
    </w:p>
    <w:p w14:paraId="443FA743" w14:textId="77777777" w:rsidR="00304C31" w:rsidRDefault="00304C31" w:rsidP="00304C31">
      <w:pPr>
        <w:pStyle w:val="Heading2"/>
        <w:rPr>
          <w:rFonts w:asciiTheme="minorHAnsi" w:hAnsiTheme="minorHAnsi"/>
          <w:i w:val="0"/>
        </w:rPr>
      </w:pPr>
      <w:r w:rsidRPr="00B84298">
        <w:rPr>
          <w:rFonts w:asciiTheme="minorHAnsi" w:hAnsiTheme="minorHAnsi"/>
          <w:i w:val="0"/>
        </w:rPr>
        <w:t>Responsibilities</w:t>
      </w:r>
      <w:r w:rsidR="009A11C9">
        <w:rPr>
          <w:rFonts w:asciiTheme="minorHAnsi" w:hAnsiTheme="minorHAnsi"/>
          <w:i w:val="0"/>
        </w:rPr>
        <w:t>:</w:t>
      </w:r>
    </w:p>
    <w:p w14:paraId="590091CD" w14:textId="77777777" w:rsidR="009A11C9" w:rsidRPr="009A11C9" w:rsidRDefault="009A11C9" w:rsidP="00304C31">
      <w:pPr>
        <w:pStyle w:val="Heading2"/>
        <w:rPr>
          <w:rFonts w:asciiTheme="minorHAnsi" w:hAnsiTheme="minorHAnsi"/>
          <w:b w:val="0"/>
          <w:i w:val="0"/>
          <w:color w:val="auto"/>
          <w:sz w:val="24"/>
        </w:rPr>
      </w:pPr>
      <w:r w:rsidRPr="009A11C9">
        <w:rPr>
          <w:rFonts w:asciiTheme="minorHAnsi" w:hAnsiTheme="minorHAnsi"/>
          <w:b w:val="0"/>
          <w:i w:val="0"/>
          <w:color w:val="auto"/>
          <w:sz w:val="24"/>
        </w:rPr>
        <w:t xml:space="preserve">n/a </w:t>
      </w:r>
    </w:p>
    <w:p w14:paraId="05E644DC" w14:textId="77777777" w:rsidR="00304C31" w:rsidRDefault="00304C31" w:rsidP="00304C31">
      <w:pPr>
        <w:pStyle w:val="Heading2"/>
        <w:rPr>
          <w:rFonts w:asciiTheme="minorHAnsi" w:hAnsiTheme="minorHAnsi"/>
          <w:i w:val="0"/>
        </w:rPr>
      </w:pPr>
      <w:r w:rsidRPr="00B84298">
        <w:rPr>
          <w:rFonts w:asciiTheme="minorHAnsi" w:hAnsiTheme="minorHAnsi"/>
          <w:i w:val="0"/>
        </w:rPr>
        <w:t>Non-compliance:</w:t>
      </w:r>
    </w:p>
    <w:p w14:paraId="6DEC6829" w14:textId="77777777" w:rsidR="00DE7901" w:rsidRPr="007416D5" w:rsidRDefault="00DE7901" w:rsidP="00DE7901">
      <w:pPr>
        <w:spacing w:before="100" w:beforeAutospacing="1" w:after="100" w:afterAutospacing="1"/>
        <w:jc w:val="both"/>
        <w:rPr>
          <w:rFonts w:asciiTheme="minorHAnsi" w:hAnsiTheme="minorHAnsi"/>
          <w:color w:val="000000"/>
        </w:rPr>
      </w:pPr>
      <w:r>
        <w:rPr>
          <w:rFonts w:asciiTheme="minorHAnsi" w:hAnsiTheme="minorHAnsi"/>
          <w:color w:val="000000"/>
        </w:rPr>
        <w:t xml:space="preserve">Instances or concerns of non-compliance with this policy should be brought to the attention of the Associate Dean, PGME. </w:t>
      </w:r>
    </w:p>
    <w:p w14:paraId="2164EE99" w14:textId="77777777" w:rsidR="00304C31" w:rsidRDefault="00304C31" w:rsidP="00304C31">
      <w:pPr>
        <w:pStyle w:val="Heading2"/>
        <w:rPr>
          <w:rFonts w:asciiTheme="minorHAnsi" w:hAnsiTheme="minorHAnsi"/>
          <w:i w:val="0"/>
        </w:rPr>
      </w:pPr>
      <w:r w:rsidRPr="00B84298">
        <w:rPr>
          <w:rFonts w:asciiTheme="minorHAnsi" w:hAnsiTheme="minorHAnsi"/>
          <w:i w:val="0"/>
        </w:rPr>
        <w:t>Procedures:</w:t>
      </w:r>
    </w:p>
    <w:p w14:paraId="3822273E" w14:textId="77777777" w:rsidR="009A11C9" w:rsidRPr="009A11C9" w:rsidRDefault="009A11C9" w:rsidP="00304C31">
      <w:pPr>
        <w:pStyle w:val="Heading2"/>
        <w:rPr>
          <w:rFonts w:asciiTheme="minorHAnsi" w:hAnsiTheme="minorHAnsi"/>
          <w:b w:val="0"/>
          <w:i w:val="0"/>
          <w:color w:val="auto"/>
          <w:sz w:val="24"/>
        </w:rPr>
      </w:pPr>
      <w:r w:rsidRPr="009A11C9">
        <w:rPr>
          <w:rFonts w:asciiTheme="minorHAnsi" w:hAnsiTheme="minorHAnsi"/>
          <w:b w:val="0"/>
          <w:i w:val="0"/>
          <w:color w:val="auto"/>
          <w:sz w:val="24"/>
        </w:rPr>
        <w:t>n/a</w:t>
      </w:r>
    </w:p>
    <w:p w14:paraId="11485031" w14:textId="77777777" w:rsidR="00304C31" w:rsidRDefault="00304C31" w:rsidP="00304C31">
      <w:pPr>
        <w:pStyle w:val="Heading2"/>
        <w:rPr>
          <w:rFonts w:asciiTheme="minorHAnsi" w:hAnsiTheme="minorHAnsi"/>
          <w:i w:val="0"/>
        </w:rPr>
      </w:pPr>
      <w:r w:rsidRPr="00B84298">
        <w:rPr>
          <w:rFonts w:asciiTheme="minorHAnsi" w:hAnsiTheme="minorHAnsi"/>
          <w:i w:val="0"/>
        </w:rPr>
        <w:t>Contact: </w:t>
      </w:r>
    </w:p>
    <w:p w14:paraId="1E391309" w14:textId="77777777" w:rsidR="00DE7901" w:rsidRPr="00DE7901" w:rsidRDefault="00DE7901" w:rsidP="00DE7901">
      <w:pPr>
        <w:pStyle w:val="Heading2"/>
        <w:spacing w:after="0" w:afterAutospacing="0"/>
        <w:rPr>
          <w:rFonts w:asciiTheme="minorHAnsi" w:hAnsiTheme="minorHAnsi"/>
          <w:b w:val="0"/>
          <w:i w:val="0"/>
          <w:color w:val="auto"/>
          <w:sz w:val="24"/>
          <w:szCs w:val="24"/>
        </w:rPr>
      </w:pPr>
      <w:r w:rsidRPr="00DE7901">
        <w:rPr>
          <w:rFonts w:asciiTheme="minorHAnsi" w:hAnsiTheme="minorHAnsi"/>
          <w:b w:val="0"/>
          <w:i w:val="0"/>
          <w:color w:val="auto"/>
          <w:sz w:val="24"/>
          <w:szCs w:val="24"/>
        </w:rPr>
        <w:t xml:space="preserve">Coordinator, </w:t>
      </w:r>
      <w:r>
        <w:rPr>
          <w:rFonts w:asciiTheme="minorHAnsi" w:hAnsiTheme="minorHAnsi"/>
          <w:b w:val="0"/>
          <w:i w:val="0"/>
          <w:color w:val="auto"/>
          <w:sz w:val="24"/>
          <w:szCs w:val="24"/>
        </w:rPr>
        <w:t>Admissions and Resident Administration</w:t>
      </w:r>
      <w:r w:rsidR="001B42D5">
        <w:rPr>
          <w:rFonts w:asciiTheme="minorHAnsi" w:hAnsiTheme="minorHAnsi"/>
          <w:b w:val="0"/>
          <w:i w:val="0"/>
          <w:color w:val="auto"/>
          <w:sz w:val="24"/>
          <w:szCs w:val="24"/>
        </w:rPr>
        <w:t xml:space="preserve">, PGME Office </w:t>
      </w:r>
      <w:r>
        <w:rPr>
          <w:rFonts w:asciiTheme="minorHAnsi" w:hAnsiTheme="minorHAnsi"/>
          <w:b w:val="0"/>
          <w:i w:val="0"/>
          <w:color w:val="auto"/>
          <w:sz w:val="24"/>
          <w:szCs w:val="24"/>
        </w:rPr>
        <w:t xml:space="preserve"> </w:t>
      </w:r>
    </w:p>
    <w:p w14:paraId="0E9C12B2" w14:textId="77777777" w:rsidR="00EB11EB" w:rsidRPr="00FE5D1A" w:rsidRDefault="00DE7901" w:rsidP="00FE5D1A">
      <w:pPr>
        <w:pStyle w:val="Heading2"/>
        <w:spacing w:before="0" w:beforeAutospacing="0"/>
        <w:rPr>
          <w:rFonts w:asciiTheme="minorHAnsi" w:hAnsiTheme="minorHAnsi"/>
          <w:b w:val="0"/>
          <w:i w:val="0"/>
          <w:color w:val="auto"/>
          <w:sz w:val="24"/>
          <w:szCs w:val="24"/>
        </w:rPr>
      </w:pPr>
      <w:r w:rsidRPr="00DE7901">
        <w:rPr>
          <w:rFonts w:asciiTheme="minorHAnsi" w:hAnsiTheme="minorHAnsi"/>
          <w:b w:val="0"/>
          <w:i w:val="0"/>
          <w:color w:val="auto"/>
          <w:sz w:val="24"/>
          <w:szCs w:val="24"/>
        </w:rPr>
        <w:t xml:space="preserve">Phone: </w:t>
      </w:r>
      <w:r>
        <w:rPr>
          <w:rFonts w:asciiTheme="minorHAnsi" w:hAnsiTheme="minorHAnsi"/>
          <w:b w:val="0"/>
          <w:i w:val="0"/>
          <w:color w:val="auto"/>
          <w:sz w:val="24"/>
          <w:szCs w:val="24"/>
        </w:rPr>
        <w:t>306-966-1941</w:t>
      </w:r>
    </w:p>
    <w:sectPr w:rsidR="00EB11EB" w:rsidRPr="00FE5D1A" w:rsidSect="00445E98">
      <w:headerReference w:type="first" r:id="rId8"/>
      <w:pgSz w:w="12240" w:h="15840" w:code="1"/>
      <w:pgMar w:top="1260" w:right="1440" w:bottom="117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EB4D" w14:textId="77777777" w:rsidR="00B9713A" w:rsidRDefault="00B9713A">
      <w:r>
        <w:separator/>
      </w:r>
    </w:p>
  </w:endnote>
  <w:endnote w:type="continuationSeparator" w:id="0">
    <w:p w14:paraId="06E1AF68" w14:textId="77777777" w:rsidR="00B9713A" w:rsidRDefault="00B9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007C" w14:textId="77777777" w:rsidR="00B9713A" w:rsidRDefault="00B9713A">
      <w:r>
        <w:separator/>
      </w:r>
    </w:p>
  </w:footnote>
  <w:footnote w:type="continuationSeparator" w:id="0">
    <w:p w14:paraId="53A700E7" w14:textId="77777777" w:rsidR="00B9713A" w:rsidRDefault="00B9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E430" w14:textId="77777777" w:rsidR="00445E98" w:rsidRDefault="00445E98">
    <w:pPr>
      <w:pStyle w:val="Header"/>
    </w:pPr>
    <w:r>
      <w:rPr>
        <w:noProof/>
        <w:lang w:val="en-CA" w:eastAsia="en-CA"/>
      </w:rPr>
      <w:drawing>
        <wp:anchor distT="0" distB="0" distL="114300" distR="114300" simplePos="0" relativeHeight="251659264" behindDoc="0" locked="0" layoutInCell="1" allowOverlap="1" wp14:anchorId="7F6C389F" wp14:editId="75C529F0">
          <wp:simplePos x="0" y="0"/>
          <wp:positionH relativeFrom="column">
            <wp:posOffset>4236720</wp:posOffset>
          </wp:positionH>
          <wp:positionV relativeFrom="paragraph">
            <wp:posOffset>-388620</wp:posOffset>
          </wp:positionV>
          <wp:extent cx="2562225" cy="609600"/>
          <wp:effectExtent l="0" t="0" r="9525" b="0"/>
          <wp:wrapNone/>
          <wp:docPr id="2" name="Picture 2"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240" behindDoc="0" locked="0" layoutInCell="1" allowOverlap="1" wp14:anchorId="27E6D7E5" wp14:editId="5DF541D5">
          <wp:simplePos x="0" y="0"/>
          <wp:positionH relativeFrom="column">
            <wp:posOffset>-1053465</wp:posOffset>
          </wp:positionH>
          <wp:positionV relativeFrom="paragraph">
            <wp:posOffset>-430530</wp:posOffset>
          </wp:positionV>
          <wp:extent cx="2838450" cy="161925"/>
          <wp:effectExtent l="0" t="0" r="0" b="9525"/>
          <wp:wrapNone/>
          <wp:docPr id="1" name="Picture 1" descr="letterhea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ox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5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A667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5E49D5"/>
    <w:multiLevelType w:val="multilevel"/>
    <w:tmpl w:val="701C3ED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1F072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9206E9"/>
    <w:multiLevelType w:val="multilevel"/>
    <w:tmpl w:val="5F3285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252758"/>
    <w:multiLevelType w:val="multilevel"/>
    <w:tmpl w:val="762AAD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F5560D5"/>
    <w:multiLevelType w:val="hybridMultilevel"/>
    <w:tmpl w:val="3664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C0A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C8077C"/>
    <w:multiLevelType w:val="multilevel"/>
    <w:tmpl w:val="A84E421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D03F00"/>
    <w:multiLevelType w:val="multilevel"/>
    <w:tmpl w:val="6D7EDD4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5C53215C"/>
    <w:multiLevelType w:val="hybridMultilevel"/>
    <w:tmpl w:val="8682B49C"/>
    <w:lvl w:ilvl="0" w:tplc="0E2866A6">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D315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663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457E3A"/>
    <w:multiLevelType w:val="multilevel"/>
    <w:tmpl w:val="4D3A283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9A234A"/>
    <w:multiLevelType w:val="multilevel"/>
    <w:tmpl w:val="AAB44456"/>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2"/>
  </w:num>
  <w:num w:numId="3">
    <w:abstractNumId w:val="1"/>
  </w:num>
  <w:num w:numId="4">
    <w:abstractNumId w:val="10"/>
  </w:num>
  <w:num w:numId="5">
    <w:abstractNumId w:val="4"/>
  </w:num>
  <w:num w:numId="6">
    <w:abstractNumId w:val="14"/>
  </w:num>
  <w:num w:numId="7">
    <w:abstractNumId w:val="2"/>
  </w:num>
  <w:num w:numId="8">
    <w:abstractNumId w:val="3"/>
  </w:num>
  <w:num w:numId="9">
    <w:abstractNumId w:val="9"/>
  </w:num>
  <w:num w:numId="10">
    <w:abstractNumId w:val="11"/>
  </w:num>
  <w:num w:numId="11">
    <w:abstractNumId w:val="8"/>
  </w:num>
  <w:num w:numId="12">
    <w:abstractNumId w:val="5"/>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1"/>
    <w:rsid w:val="00061988"/>
    <w:rsid w:val="000D4362"/>
    <w:rsid w:val="001B42D5"/>
    <w:rsid w:val="001C1DBA"/>
    <w:rsid w:val="001E6A72"/>
    <w:rsid w:val="00304C31"/>
    <w:rsid w:val="003A239E"/>
    <w:rsid w:val="003B58A2"/>
    <w:rsid w:val="00445E98"/>
    <w:rsid w:val="005809FC"/>
    <w:rsid w:val="006761A4"/>
    <w:rsid w:val="006D77C5"/>
    <w:rsid w:val="00880197"/>
    <w:rsid w:val="008F264A"/>
    <w:rsid w:val="009A11C9"/>
    <w:rsid w:val="009E26D4"/>
    <w:rsid w:val="00A92693"/>
    <w:rsid w:val="00B84298"/>
    <w:rsid w:val="00B9713A"/>
    <w:rsid w:val="00BC3D0A"/>
    <w:rsid w:val="00C14196"/>
    <w:rsid w:val="00C27F23"/>
    <w:rsid w:val="00D92FEF"/>
    <w:rsid w:val="00DE7901"/>
    <w:rsid w:val="00E43266"/>
    <w:rsid w:val="00E50781"/>
    <w:rsid w:val="00EA45DC"/>
    <w:rsid w:val="00EB11EB"/>
    <w:rsid w:val="00F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4746"/>
  <w15:docId w15:val="{D1ECD685-B0A4-4865-A290-6D8AEA93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304C31"/>
    <w:pPr>
      <w:spacing w:before="100" w:beforeAutospacing="1" w:after="100" w:afterAutospacing="1"/>
      <w:outlineLvl w:val="0"/>
    </w:pPr>
    <w:rPr>
      <w:rFonts w:ascii="Arial" w:hAnsi="Arial" w:cs="Arial"/>
      <w:b/>
      <w:bCs/>
      <w:i/>
      <w:iCs/>
      <w:color w:val="003300"/>
      <w:kern w:val="36"/>
      <w:sz w:val="48"/>
      <w:szCs w:val="48"/>
    </w:rPr>
  </w:style>
  <w:style w:type="paragraph" w:styleId="Heading2">
    <w:name w:val="heading 2"/>
    <w:basedOn w:val="Normal"/>
    <w:link w:val="Heading2Char"/>
    <w:qFormat/>
    <w:rsid w:val="00304C31"/>
    <w:pPr>
      <w:spacing w:before="100" w:beforeAutospacing="1" w:after="100" w:afterAutospacing="1"/>
      <w:outlineLvl w:val="1"/>
    </w:pPr>
    <w:rPr>
      <w:rFonts w:ascii="Arial" w:hAnsi="Arial" w:cs="Arial"/>
      <w:b/>
      <w:bCs/>
      <w:i/>
      <w:iCs/>
      <w:color w:val="0033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C31"/>
    <w:rPr>
      <w:rFonts w:ascii="Arial" w:eastAsia="Times New Roman" w:hAnsi="Arial" w:cs="Arial"/>
      <w:b/>
      <w:bCs/>
      <w:i/>
      <w:iCs/>
      <w:color w:val="003300"/>
      <w:kern w:val="36"/>
      <w:sz w:val="48"/>
      <w:szCs w:val="48"/>
    </w:rPr>
  </w:style>
  <w:style w:type="character" w:customStyle="1" w:styleId="Heading2Char">
    <w:name w:val="Heading 2 Char"/>
    <w:basedOn w:val="DefaultParagraphFont"/>
    <w:link w:val="Heading2"/>
    <w:rsid w:val="00304C31"/>
    <w:rPr>
      <w:rFonts w:ascii="Arial" w:eastAsia="Times New Roman" w:hAnsi="Arial" w:cs="Arial"/>
      <w:b/>
      <w:bCs/>
      <w:i/>
      <w:iCs/>
      <w:color w:val="003300"/>
      <w:sz w:val="36"/>
      <w:szCs w:val="36"/>
    </w:rPr>
  </w:style>
  <w:style w:type="paragraph" w:customStyle="1" w:styleId="policyheader">
    <w:name w:val="policyheader"/>
    <w:basedOn w:val="Normal"/>
    <w:rsid w:val="00304C31"/>
    <w:pPr>
      <w:shd w:val="clear" w:color="auto" w:fill="006600"/>
      <w:spacing w:before="100" w:beforeAutospacing="1" w:after="100" w:afterAutospacing="1"/>
    </w:pPr>
    <w:rPr>
      <w:rFonts w:ascii="Arial" w:hAnsi="Arial" w:cs="Arial"/>
      <w:b/>
      <w:bCs/>
      <w:color w:val="FFFFFF"/>
      <w:sz w:val="36"/>
      <w:szCs w:val="36"/>
    </w:rPr>
  </w:style>
  <w:style w:type="paragraph" w:styleId="NormalWeb">
    <w:name w:val="Normal (Web)"/>
    <w:basedOn w:val="Normal"/>
    <w:rsid w:val="00304C31"/>
    <w:pPr>
      <w:spacing w:before="100" w:beforeAutospacing="1" w:after="100" w:afterAutospacing="1"/>
    </w:pPr>
  </w:style>
  <w:style w:type="paragraph" w:styleId="Header">
    <w:name w:val="header"/>
    <w:basedOn w:val="Normal"/>
    <w:link w:val="HeaderChar"/>
    <w:rsid w:val="00304C31"/>
    <w:pPr>
      <w:tabs>
        <w:tab w:val="center" w:pos="4320"/>
        <w:tab w:val="right" w:pos="8640"/>
      </w:tabs>
    </w:pPr>
  </w:style>
  <w:style w:type="character" w:customStyle="1" w:styleId="HeaderChar">
    <w:name w:val="Header Char"/>
    <w:basedOn w:val="DefaultParagraphFont"/>
    <w:link w:val="Header"/>
    <w:rsid w:val="00304C31"/>
    <w:rPr>
      <w:rFonts w:ascii="Times New Roman" w:eastAsia="Times New Roman" w:hAnsi="Times New Roman" w:cs="Times New Roman"/>
      <w:sz w:val="24"/>
      <w:szCs w:val="24"/>
    </w:rPr>
  </w:style>
  <w:style w:type="paragraph" w:styleId="Footer">
    <w:name w:val="footer"/>
    <w:basedOn w:val="Normal"/>
    <w:link w:val="FooterChar"/>
    <w:rsid w:val="00304C31"/>
    <w:pPr>
      <w:tabs>
        <w:tab w:val="center" w:pos="4320"/>
        <w:tab w:val="right" w:pos="8640"/>
      </w:tabs>
    </w:pPr>
  </w:style>
  <w:style w:type="character" w:customStyle="1" w:styleId="FooterChar">
    <w:name w:val="Footer Char"/>
    <w:basedOn w:val="DefaultParagraphFont"/>
    <w:link w:val="Footer"/>
    <w:rsid w:val="00304C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0197"/>
    <w:rPr>
      <w:sz w:val="16"/>
      <w:szCs w:val="16"/>
    </w:rPr>
  </w:style>
  <w:style w:type="paragraph" w:styleId="CommentText">
    <w:name w:val="annotation text"/>
    <w:basedOn w:val="Normal"/>
    <w:link w:val="CommentTextChar"/>
    <w:uiPriority w:val="99"/>
    <w:semiHidden/>
    <w:unhideWhenUsed/>
    <w:rsid w:val="00880197"/>
    <w:rPr>
      <w:sz w:val="20"/>
      <w:szCs w:val="20"/>
    </w:rPr>
  </w:style>
  <w:style w:type="character" w:customStyle="1" w:styleId="CommentTextChar">
    <w:name w:val="Comment Text Char"/>
    <w:basedOn w:val="DefaultParagraphFont"/>
    <w:link w:val="CommentText"/>
    <w:uiPriority w:val="99"/>
    <w:semiHidden/>
    <w:rsid w:val="008801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0197"/>
    <w:rPr>
      <w:b/>
      <w:bCs/>
    </w:rPr>
  </w:style>
  <w:style w:type="character" w:customStyle="1" w:styleId="CommentSubjectChar">
    <w:name w:val="Comment Subject Char"/>
    <w:basedOn w:val="CommentTextChar"/>
    <w:link w:val="CommentSubject"/>
    <w:uiPriority w:val="99"/>
    <w:semiHidden/>
    <w:rsid w:val="008801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197"/>
    <w:rPr>
      <w:rFonts w:ascii="Segoe UI" w:eastAsia="Times New Roman" w:hAnsi="Segoe UI" w:cs="Segoe UI"/>
      <w:sz w:val="18"/>
      <w:szCs w:val="18"/>
    </w:rPr>
  </w:style>
  <w:style w:type="table" w:styleId="PlainTable1">
    <w:name w:val="Plain Table 1"/>
    <w:basedOn w:val="TableNormal"/>
    <w:uiPriority w:val="41"/>
    <w:rsid w:val="009E26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9E26D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9E26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D92FEF"/>
    <w:rPr>
      <w:color w:val="0000FF"/>
      <w:u w:val="single"/>
    </w:rPr>
  </w:style>
  <w:style w:type="paragraph" w:styleId="ListParagraph">
    <w:name w:val="List Paragraph"/>
    <w:basedOn w:val="Normal"/>
    <w:uiPriority w:val="34"/>
    <w:qFormat/>
    <w:rsid w:val="005809FC"/>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E7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0567">
      <w:bodyDiv w:val="1"/>
      <w:marLeft w:val="0"/>
      <w:marRight w:val="0"/>
      <w:marTop w:val="0"/>
      <w:marBottom w:val="0"/>
      <w:divBdr>
        <w:top w:val="none" w:sz="0" w:space="0" w:color="auto"/>
        <w:left w:val="none" w:sz="0" w:space="0" w:color="auto"/>
        <w:bottom w:val="none" w:sz="0" w:space="0" w:color="auto"/>
        <w:right w:val="none" w:sz="0" w:space="0" w:color="auto"/>
      </w:divBdr>
      <w:divsChild>
        <w:div w:id="956375993">
          <w:marLeft w:val="0"/>
          <w:marRight w:val="0"/>
          <w:marTop w:val="0"/>
          <w:marBottom w:val="0"/>
          <w:divBdr>
            <w:top w:val="none" w:sz="0" w:space="0" w:color="auto"/>
            <w:left w:val="none" w:sz="0" w:space="0" w:color="auto"/>
            <w:bottom w:val="none" w:sz="0" w:space="0" w:color="auto"/>
            <w:right w:val="none" w:sz="0" w:space="0" w:color="auto"/>
          </w:divBdr>
          <w:divsChild>
            <w:div w:id="1741557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7512-029E-C14F-926E-9D2A0121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Siebert, Kevin</dc:creator>
  <cp:lastModifiedBy>Tara Carmichael</cp:lastModifiedBy>
  <cp:revision>2</cp:revision>
  <dcterms:created xsi:type="dcterms:W3CDTF">2019-05-16T18:01:00Z</dcterms:created>
  <dcterms:modified xsi:type="dcterms:W3CDTF">2019-05-16T18:01:00Z</dcterms:modified>
</cp:coreProperties>
</file>